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285D">
      <w:pPr>
        <w:spacing w:line="360" w:lineRule="auto"/>
        <w:jc w:val="center"/>
        <w:rPr>
          <w:rFonts w:eastAsia="仿宋_GB2312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扬子石化公司</w:t>
      </w:r>
    </w:p>
    <w:p w:rsidR="00000000" w:rsidRDefault="001C285D">
      <w:pPr>
        <w:spacing w:line="360" w:lineRule="auto"/>
        <w:jc w:val="center"/>
        <w:rPr>
          <w:rFonts w:eastAsia="黑体"/>
          <w:b/>
          <w:sz w:val="18"/>
          <w:szCs w:val="18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用行动诠释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“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安全为天、环保优先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”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的绿色发展理念</w:t>
      </w:r>
    </w:p>
    <w:p w:rsidR="00000000" w:rsidRDefault="001C285D">
      <w:pPr>
        <w:adjustRightInd w:val="0"/>
        <w:snapToGrid w:val="0"/>
        <w:spacing w:line="440" w:lineRule="exact"/>
        <w:jc w:val="center"/>
        <w:rPr>
          <w:rFonts w:eastAsia="黑体"/>
          <w:b/>
          <w:bCs/>
          <w:sz w:val="32"/>
          <w:szCs w:val="32"/>
        </w:rPr>
      </w:pPr>
    </w:p>
    <w:p w:rsidR="00000000" w:rsidRDefault="001C285D">
      <w:pPr>
        <w:adjustRightInd w:val="0"/>
        <w:snapToGrid w:val="0"/>
        <w:spacing w:line="520" w:lineRule="exact"/>
        <w:ind w:firstLineChars="196" w:firstLine="590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近年来，扬子石化持续加大环保科技投入，升级提升污水处理生产技术水平，用行动诠释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“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安全为天、环保优先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”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的绿色发展理念。</w:t>
      </w:r>
    </w:p>
    <w:p w:rsidR="00000000" w:rsidRDefault="001C285D">
      <w:pPr>
        <w:adjustRightInd w:val="0"/>
        <w:snapToGrid w:val="0"/>
        <w:spacing w:line="520" w:lineRule="exact"/>
        <w:ind w:firstLineChars="196" w:firstLine="590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一是成功实施了《适应新标准污水深度处理改造项目》。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2011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年，扬子石化投资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6000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多万元，采用自主开发的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“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气浮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+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臭氧氧化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+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曝气生物滤池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”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组合工艺，实现对污水的深度处理，外排污水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COD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已稳定在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60mg/l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以下、总磷低于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0.5mg/l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，优于国家一级排放标准。</w:t>
      </w:r>
    </w:p>
    <w:p w:rsidR="00000000" w:rsidRDefault="001C285D">
      <w:pPr>
        <w:adjustRightInd w:val="0"/>
        <w:snapToGrid w:val="0"/>
        <w:spacing w:line="520" w:lineRule="exact"/>
        <w:ind w:firstLineChars="196" w:firstLine="590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二是建成投运了污水回用装置。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2012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年，扬子石化投资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9500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万元，选用最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可靠先进的美国科氏单封头浸没式超滤和陶氏反渗透膜组合，建成投运了</w:t>
      </w:r>
      <w:smartTag w:uri="urn:schemas-microsoft-com:office:smarttags" w:element="chmetcnv">
        <w:smartTagPr>
          <w:attr w:name="UnitName" w:val="m3"/>
          <w:attr w:name="SourceValue" w:val="40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eastAsia="仿宋_GB2312"/>
            <w:b/>
            <w:bCs/>
            <w:color w:val="000000"/>
            <w:kern w:val="0"/>
            <w:sz w:val="30"/>
            <w:szCs w:val="30"/>
          </w:rPr>
          <w:t>400 m</w:t>
        </w:r>
        <w:r>
          <w:rPr>
            <w:rFonts w:eastAsia="仿宋_GB2312"/>
            <w:b/>
            <w:bCs/>
            <w:color w:val="000000"/>
            <w:kern w:val="0"/>
            <w:sz w:val="30"/>
            <w:szCs w:val="30"/>
            <w:vertAlign w:val="superscript"/>
          </w:rPr>
          <w:t>3</w:t>
        </w:r>
      </w:smartTag>
      <w:r>
        <w:rPr>
          <w:rFonts w:eastAsia="仿宋_GB2312"/>
          <w:b/>
          <w:bCs/>
          <w:color w:val="000000"/>
          <w:kern w:val="0"/>
          <w:sz w:val="30"/>
          <w:szCs w:val="30"/>
        </w:rPr>
        <w:t>/h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的污水回用一期工程，产水规模为</w:t>
      </w:r>
      <w:smartTag w:uri="urn:schemas-microsoft-com:office:smarttags" w:element="chmetcnv">
        <w:smartTagPr>
          <w:attr w:name="UnitName" w:val="m3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b/>
            <w:bCs/>
            <w:color w:val="000000"/>
            <w:kern w:val="0"/>
            <w:sz w:val="30"/>
            <w:szCs w:val="30"/>
          </w:rPr>
          <w:t>250m</w:t>
        </w:r>
        <w:r>
          <w:rPr>
            <w:rFonts w:eastAsia="仿宋_GB2312"/>
            <w:b/>
            <w:bCs/>
            <w:color w:val="000000"/>
            <w:kern w:val="0"/>
            <w:sz w:val="30"/>
            <w:szCs w:val="30"/>
            <w:vertAlign w:val="superscript"/>
          </w:rPr>
          <w:t>3</w:t>
        </w:r>
      </w:smartTag>
      <w:r>
        <w:rPr>
          <w:rFonts w:eastAsia="仿宋_GB2312"/>
          <w:b/>
          <w:bCs/>
          <w:color w:val="000000"/>
          <w:kern w:val="0"/>
          <w:sz w:val="30"/>
          <w:szCs w:val="30"/>
        </w:rPr>
        <w:t>/h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，产品水作为扬巴工业用水和循环水的补给水，每年可节约新鲜水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200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万吨，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COD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减排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120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吨。</w:t>
      </w:r>
    </w:p>
    <w:p w:rsidR="00000000" w:rsidRDefault="001C285D">
      <w:pPr>
        <w:adjustRightInd w:val="0"/>
        <w:snapToGrid w:val="0"/>
        <w:spacing w:line="520" w:lineRule="exact"/>
        <w:ind w:firstLineChars="196" w:firstLine="590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三是实现污水处理密闭化，有效改善周边空气质量。从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2008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年开始，扬子石化投资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6500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多万元，分批对污水处理系统的所有敞开池体加盖密闭，通过专设风机和管线，将所有异味气体集中收集、生化处理，达标后高塔排放。</w:t>
      </w:r>
    </w:p>
    <w:p w:rsidR="00000000" w:rsidRDefault="001C285D">
      <w:pPr>
        <w:adjustRightInd w:val="0"/>
        <w:snapToGrid w:val="0"/>
        <w:spacing w:line="520" w:lineRule="exact"/>
        <w:ind w:firstLineChars="196" w:firstLine="590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四是变废为宝，创造绿色效益。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2006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年，投资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590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万元，建成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TA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残次料回收装置，将溶解于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P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TA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废水中的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TA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酸化沉降、脱水回收，转入市场销售，每年产生经济效益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400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万元；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2009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年，投资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590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万元，建成沼气回收利用装置，将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PTA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废水厌氧生化处理过程中产生的沼气收集送入公司燃料气管网，每年不仅取得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750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万元的经济效益，而且相当于减少了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450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万辆轿车的碳排放量。</w:t>
      </w:r>
    </w:p>
    <w:p w:rsidR="001C285D" w:rsidRDefault="001C285D">
      <w:pPr>
        <w:adjustRightInd w:val="0"/>
        <w:snapToGrid w:val="0"/>
        <w:spacing w:line="520" w:lineRule="exact"/>
        <w:ind w:firstLineChars="196" w:firstLine="590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 xml:space="preserve">                                       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（扬子石化水厂）</w:t>
      </w:r>
    </w:p>
    <w:sectPr w:rsidR="001C285D">
      <w:footerReference w:type="default" r:id="rId6"/>
      <w:pgSz w:w="11906" w:h="16838"/>
      <w:pgMar w:top="1418" w:right="1418" w:bottom="1418" w:left="1418" w:header="851" w:footer="1247" w:gutter="0"/>
      <w:cols w:space="425"/>
      <w:rtlGutter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5D" w:rsidRDefault="001C285D">
      <w:r>
        <w:separator/>
      </w:r>
    </w:p>
  </w:endnote>
  <w:endnote w:type="continuationSeparator" w:id="0">
    <w:p w:rsidR="001C285D" w:rsidRDefault="001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285D">
    <w:pPr>
      <w:pStyle w:val="a9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B7ACB">
      <w:rPr>
        <w:rStyle w:val="af1"/>
        <w:noProof/>
      </w:rPr>
      <w:t>1</w:t>
    </w:r>
    <w:r>
      <w:rPr>
        <w:rStyle w:val="af1"/>
      </w:rPr>
      <w:fldChar w:fldCharType="end"/>
    </w:r>
  </w:p>
  <w:p w:rsidR="00000000" w:rsidRDefault="001C28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5D" w:rsidRDefault="001C285D">
      <w:r>
        <w:separator/>
      </w:r>
    </w:p>
  </w:footnote>
  <w:footnote w:type="continuationSeparator" w:id="0">
    <w:p w:rsidR="001C285D" w:rsidRDefault="001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7ACB"/>
    <w:rsid w:val="001C285D"/>
    <w:rsid w:val="008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17A06-7A59-4E3B-BED8-8735539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0"/>
    <w:link w:val="3Char1"/>
    <w:qFormat/>
    <w:pPr>
      <w:keepNext/>
      <w:keepLines/>
      <w:spacing w:before="260" w:after="260" w:line="415" w:lineRule="auto"/>
      <w:outlineLvl w:val="2"/>
    </w:pPr>
    <w:rPr>
      <w:rFonts w:eastAsiaTheme="minorEastAsi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semiHidden/>
    <w:unhideWhenUsed/>
    <w:rPr>
      <w:color w:val="800080"/>
      <w:u w:val="single"/>
    </w:rPr>
  </w:style>
  <w:style w:type="character" w:customStyle="1" w:styleId="2Char">
    <w:name w:val="标题 2 Char"/>
    <w:basedOn w:val="a1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0">
    <w:name w:val="Normal Indent"/>
    <w:aliases w:val="s4,正文缩进 Char,表正文,正文非缩进,s4 Char,特点,ALT+Z,段1,正文（首行缩进两字） Char,正文（首行缩进两字） Char Char Char Char Char Char Char Char Char Char Char Char Char Char,水上软件,四号,缩进,正文（首行缩进两字）段落（热工）"/>
    <w:basedOn w:val="a"/>
    <w:semiHidden/>
    <w:unhideWhenUsed/>
    <w:pPr>
      <w:ind w:firstLineChars="200" w:firstLine="420"/>
    </w:pPr>
  </w:style>
  <w:style w:type="character" w:customStyle="1" w:styleId="3Char">
    <w:name w:val="标题 3 Char"/>
    <w:basedOn w:val="a1"/>
    <w:link w:val="3"/>
    <w:semiHidden/>
    <w:rPr>
      <w:rFonts w:eastAsia="宋体"/>
      <w:b/>
      <w:bCs/>
      <w:kern w:val="2"/>
      <w:sz w:val="32"/>
      <w:szCs w:val="32"/>
    </w:rPr>
  </w:style>
  <w:style w:type="paragraph" w:styleId="HTML">
    <w:name w:val="HTML Preformatted"/>
    <w:basedOn w:val="a"/>
    <w:link w:val="HTMLChar1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semiHidden/>
    <w:rPr>
      <w:rFonts w:ascii="Courier New" w:eastAsia="宋体" w:hAnsi="Courier New" w:cs="Courier New"/>
      <w:kern w:val="2"/>
    </w:rPr>
  </w:style>
  <w:style w:type="character" w:styleId="a6">
    <w:name w:val="Strong"/>
    <w:basedOn w:val="a1"/>
    <w:qFormat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">
    <w:name w:val="toc 1"/>
    <w:basedOn w:val="a"/>
    <w:next w:val="a"/>
    <w:autoRedefine/>
    <w:semiHidden/>
    <w:unhideWhenUsed/>
    <w:pPr>
      <w:tabs>
        <w:tab w:val="right" w:leader="dot" w:pos="8303"/>
      </w:tabs>
    </w:pPr>
    <w:rPr>
      <w:rFonts w:eastAsia="仿宋_GB2312"/>
    </w:rPr>
  </w:style>
  <w:style w:type="paragraph" w:styleId="a8">
    <w:name w:val="header"/>
    <w:basedOn w:val="a"/>
    <w:link w:val="Char1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semiHidden/>
    <w:rPr>
      <w:rFonts w:eastAsia="宋体"/>
      <w:kern w:val="2"/>
      <w:sz w:val="18"/>
      <w:szCs w:val="18"/>
    </w:rPr>
  </w:style>
  <w:style w:type="paragraph" w:styleId="a9">
    <w:name w:val="footer"/>
    <w:basedOn w:val="a"/>
    <w:link w:val="Char1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semiHidden/>
    <w:rPr>
      <w:rFonts w:eastAsia="宋体"/>
      <w:kern w:val="2"/>
      <w:sz w:val="18"/>
      <w:szCs w:val="18"/>
    </w:rPr>
  </w:style>
  <w:style w:type="paragraph" w:styleId="aa">
    <w:name w:val="Body Text"/>
    <w:basedOn w:val="a"/>
    <w:link w:val="Char11"/>
    <w:semiHidden/>
    <w:unhideWhenUsed/>
    <w:pPr>
      <w:spacing w:after="120"/>
    </w:pPr>
  </w:style>
  <w:style w:type="character" w:customStyle="1" w:styleId="Char2">
    <w:name w:val="正文文本 Char"/>
    <w:basedOn w:val="a1"/>
    <w:link w:val="aa"/>
    <w:semiHidden/>
    <w:rPr>
      <w:rFonts w:eastAsia="宋体"/>
      <w:kern w:val="2"/>
      <w:sz w:val="21"/>
      <w:szCs w:val="21"/>
    </w:rPr>
  </w:style>
  <w:style w:type="paragraph" w:styleId="ab">
    <w:name w:val="Body Text Indent"/>
    <w:basedOn w:val="a"/>
    <w:link w:val="Char12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3">
    <w:name w:val="正文文本缩进 Char"/>
    <w:basedOn w:val="a1"/>
    <w:link w:val="ab"/>
    <w:semiHidden/>
    <w:rPr>
      <w:rFonts w:eastAsia="宋体"/>
      <w:kern w:val="2"/>
      <w:sz w:val="21"/>
      <w:szCs w:val="21"/>
    </w:rPr>
  </w:style>
  <w:style w:type="paragraph" w:styleId="ac">
    <w:name w:val="Date"/>
    <w:basedOn w:val="a"/>
    <w:next w:val="a"/>
    <w:link w:val="Char13"/>
    <w:semiHidden/>
    <w:unhideWhenUsed/>
    <w:pPr>
      <w:ind w:leftChars="2500" w:left="100"/>
    </w:pPr>
    <w:rPr>
      <w:sz w:val="32"/>
      <w:szCs w:val="32"/>
    </w:rPr>
  </w:style>
  <w:style w:type="character" w:customStyle="1" w:styleId="Char4">
    <w:name w:val="日期 Char"/>
    <w:basedOn w:val="a1"/>
    <w:link w:val="ac"/>
    <w:semiHidden/>
    <w:rPr>
      <w:rFonts w:eastAsia="宋体"/>
      <w:kern w:val="2"/>
      <w:sz w:val="21"/>
      <w:szCs w:val="21"/>
    </w:rPr>
  </w:style>
  <w:style w:type="paragraph" w:styleId="20">
    <w:name w:val="Body Text 2"/>
    <w:basedOn w:val="a"/>
    <w:link w:val="2Char10"/>
    <w:semiHidden/>
    <w:unhideWhenUsed/>
    <w:pPr>
      <w:autoSpaceDE w:val="0"/>
      <w:autoSpaceDN w:val="0"/>
      <w:adjustRightInd w:val="0"/>
      <w:spacing w:line="360" w:lineRule="atLeast"/>
      <w:jc w:val="center"/>
    </w:pPr>
    <w:rPr>
      <w:rFonts w:eastAsia="黑体"/>
      <w:sz w:val="30"/>
      <w:szCs w:val="30"/>
    </w:rPr>
  </w:style>
  <w:style w:type="character" w:customStyle="1" w:styleId="2Char0">
    <w:name w:val="正文文本 2 Char"/>
    <w:basedOn w:val="a1"/>
    <w:link w:val="20"/>
    <w:semiHidden/>
    <w:rPr>
      <w:rFonts w:eastAsia="宋体"/>
      <w:kern w:val="2"/>
      <w:sz w:val="21"/>
      <w:szCs w:val="21"/>
    </w:rPr>
  </w:style>
  <w:style w:type="paragraph" w:styleId="21">
    <w:name w:val="Body Text Indent 2"/>
    <w:basedOn w:val="a"/>
    <w:link w:val="2Char11"/>
    <w:semiHidden/>
    <w:unhideWhenUsed/>
    <w:pPr>
      <w:autoSpaceDE w:val="0"/>
      <w:autoSpaceDN w:val="0"/>
      <w:adjustRightInd w:val="0"/>
      <w:spacing w:line="312" w:lineRule="auto"/>
      <w:ind w:firstLineChars="200" w:firstLine="480"/>
    </w:pPr>
    <w:rPr>
      <w:rFonts w:ascii="宋体" w:hAnsi="宋体" w:cs="宋体"/>
      <w:kern w:val="0"/>
      <w:sz w:val="24"/>
      <w:szCs w:val="24"/>
    </w:rPr>
  </w:style>
  <w:style w:type="character" w:customStyle="1" w:styleId="2Char2">
    <w:name w:val="正文文本缩进 2 Char"/>
    <w:basedOn w:val="a1"/>
    <w:link w:val="21"/>
    <w:semiHidden/>
    <w:rPr>
      <w:rFonts w:eastAsia="宋体"/>
      <w:kern w:val="2"/>
      <w:sz w:val="21"/>
      <w:szCs w:val="21"/>
    </w:rPr>
  </w:style>
  <w:style w:type="paragraph" w:styleId="30">
    <w:name w:val="Body Text Indent 3"/>
    <w:basedOn w:val="a"/>
    <w:link w:val="3Char10"/>
    <w:semiHidden/>
    <w:unhideWhenUsed/>
    <w:pPr>
      <w:adjustRightInd w:val="0"/>
      <w:snapToGrid w:val="0"/>
      <w:spacing w:line="360" w:lineRule="auto"/>
      <w:ind w:firstLineChars="200" w:firstLine="560"/>
    </w:pPr>
    <w:rPr>
      <w:rFonts w:ascii="仿宋_GB2312" w:eastAsia="仿宋_GB2312" w:cs="仿宋_GB2312"/>
      <w:sz w:val="28"/>
      <w:szCs w:val="28"/>
    </w:rPr>
  </w:style>
  <w:style w:type="character" w:customStyle="1" w:styleId="3Char0">
    <w:name w:val="正文文本缩进 3 Char"/>
    <w:basedOn w:val="a1"/>
    <w:link w:val="30"/>
    <w:semiHidden/>
    <w:rPr>
      <w:rFonts w:eastAsia="宋体"/>
      <w:kern w:val="2"/>
      <w:sz w:val="16"/>
      <w:szCs w:val="16"/>
    </w:rPr>
  </w:style>
  <w:style w:type="paragraph" w:styleId="ad">
    <w:name w:val="Document Map"/>
    <w:basedOn w:val="a"/>
    <w:link w:val="Char14"/>
    <w:semiHidden/>
    <w:unhideWhenUsed/>
    <w:pPr>
      <w:shd w:val="clear" w:color="auto" w:fill="000080"/>
    </w:pPr>
  </w:style>
  <w:style w:type="character" w:customStyle="1" w:styleId="Char5">
    <w:name w:val="文档结构图 Char"/>
    <w:basedOn w:val="a1"/>
    <w:link w:val="ad"/>
    <w:semiHidden/>
    <w:rPr>
      <w:rFonts w:ascii="Microsoft YaHei UI" w:eastAsia="Microsoft YaHei UI"/>
      <w:kern w:val="2"/>
      <w:sz w:val="18"/>
      <w:szCs w:val="18"/>
    </w:rPr>
  </w:style>
  <w:style w:type="paragraph" w:styleId="ae">
    <w:name w:val="Plain Text"/>
    <w:basedOn w:val="a"/>
    <w:link w:val="Char15"/>
    <w:semiHidden/>
    <w:unhideWhenUsed/>
    <w:rPr>
      <w:rFonts w:ascii="宋体" w:hAnsi="Courier New" w:cs="宋体"/>
    </w:rPr>
  </w:style>
  <w:style w:type="character" w:customStyle="1" w:styleId="Char6">
    <w:name w:val="纯文本 Char"/>
    <w:basedOn w:val="a1"/>
    <w:link w:val="ae"/>
    <w:semiHidden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Char16"/>
    <w:semiHidden/>
    <w:unhideWhenUsed/>
    <w:rPr>
      <w:sz w:val="18"/>
      <w:szCs w:val="18"/>
    </w:rPr>
  </w:style>
  <w:style w:type="character" w:customStyle="1" w:styleId="Char7">
    <w:name w:val="批注框文本 Char"/>
    <w:basedOn w:val="a1"/>
    <w:link w:val="af"/>
    <w:semiHidden/>
    <w:rPr>
      <w:rFonts w:eastAsia="宋体"/>
      <w:kern w:val="2"/>
      <w:sz w:val="18"/>
      <w:szCs w:val="18"/>
    </w:rPr>
  </w:style>
  <w:style w:type="paragraph" w:customStyle="1" w:styleId="Char8">
    <w:name w:val="Char"/>
    <w:aliases w:val="(二) Char 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17">
    <w:name w:val="Char1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90">
    <w:name w:val="Char90"/>
    <w:basedOn w:val="a"/>
    <w:pPr>
      <w:spacing w:line="360" w:lineRule="auto"/>
    </w:pPr>
    <w:rPr>
      <w:sz w:val="24"/>
      <w:szCs w:val="24"/>
    </w:rPr>
  </w:style>
  <w:style w:type="paragraph" w:customStyle="1" w:styleId="Char20">
    <w:name w:val="Char2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30">
    <w:name w:val="Char3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40">
    <w:name w:val="Char4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 w:cs="Calibri"/>
    </w:rPr>
  </w:style>
  <w:style w:type="paragraph" w:customStyle="1" w:styleId="Char50">
    <w:name w:val="Char5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pPr>
      <w:spacing w:line="360" w:lineRule="auto"/>
    </w:pPr>
    <w:rPr>
      <w:sz w:val="24"/>
      <w:szCs w:val="24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1CharCharCharCharCharCharCharCharCharCharChar">
    <w:name w:val="Char1 Char Char Char Char Char Char Char Char Char Char 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1">
    <w:name w:val="Char Char Char Char Char Char Char1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2">
    <w:name w:val="Char Char Char Char Char Char Char2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">
    <w:name w:val="Char Char"/>
    <w:basedOn w:val="a"/>
  </w:style>
  <w:style w:type="paragraph" w:customStyle="1" w:styleId="Char1CharCharCharCharCharCharCharCharCharCharChar1">
    <w:name w:val="Char1 Char Char Char Char Char Char Char Char Char Char Char1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1CharCharCharCharCharCharCharCharCharCharChar2">
    <w:name w:val="Char1 Char Char Char Char Char Char Char Char Char Char Char2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1Char">
    <w:name w:val="Char Char Char1 Char"/>
    <w:basedOn w:val="a"/>
    <w:pPr>
      <w:spacing w:line="360" w:lineRule="auto"/>
    </w:pPr>
  </w:style>
  <w:style w:type="paragraph" w:customStyle="1" w:styleId="CharChar1CharCharChar">
    <w:name w:val="Char Char1 Char Char Char"/>
    <w:basedOn w:val="ad"/>
    <w:autoRedefine/>
    <w:rPr>
      <w:rFonts w:ascii="Tahoma" w:hAnsi="Tahoma" w:cs="Tahoma"/>
      <w:sz w:val="24"/>
      <w:szCs w:val="24"/>
    </w:rPr>
  </w:style>
  <w:style w:type="character" w:styleId="af1">
    <w:name w:val="page number"/>
    <w:basedOn w:val="a1"/>
    <w:uiPriority w:val="99"/>
    <w:semiHidden/>
    <w:unhideWhenUsed/>
    <w:rPr>
      <w:rFonts w:ascii="Times New Roman" w:hAnsi="Times New Roman" w:cs="Times New Roman" w:hint="default"/>
    </w:rPr>
  </w:style>
  <w:style w:type="character" w:customStyle="1" w:styleId="2Char1">
    <w:name w:val="标题 2 Char1"/>
    <w:basedOn w:val="a1"/>
    <w:link w:val="2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1">
    <w:name w:val="标题 3 Char1"/>
    <w:basedOn w:val="a1"/>
    <w:link w:val="3"/>
    <w:semiHidden/>
    <w:locked/>
    <w:rPr>
      <w:b/>
      <w:bCs/>
      <w:sz w:val="32"/>
      <w:szCs w:val="32"/>
    </w:rPr>
  </w:style>
  <w:style w:type="character" w:customStyle="1" w:styleId="Char10">
    <w:name w:val="页脚 Char1"/>
    <w:basedOn w:val="a1"/>
    <w:link w:val="a9"/>
    <w:locked/>
    <w:rPr>
      <w:sz w:val="18"/>
      <w:szCs w:val="18"/>
    </w:rPr>
  </w:style>
  <w:style w:type="character" w:customStyle="1" w:styleId="Char15">
    <w:name w:val="纯文本 Char1"/>
    <w:basedOn w:val="a1"/>
    <w:link w:val="ae"/>
    <w:semiHidden/>
    <w:locked/>
    <w:rPr>
      <w:rFonts w:ascii="宋体" w:eastAsia="宋体" w:hAnsi="Courier New" w:cs="Courier New" w:hint="eastAsia"/>
      <w:szCs w:val="21"/>
    </w:rPr>
  </w:style>
  <w:style w:type="character" w:customStyle="1" w:styleId="Char12">
    <w:name w:val="正文文本缩进 Char1"/>
    <w:basedOn w:val="a1"/>
    <w:link w:val="ab"/>
    <w:semiHidden/>
    <w:locked/>
    <w:rPr>
      <w:szCs w:val="21"/>
    </w:rPr>
  </w:style>
  <w:style w:type="character" w:customStyle="1" w:styleId="2Char10">
    <w:name w:val="正文文本 2 Char1"/>
    <w:basedOn w:val="a1"/>
    <w:link w:val="20"/>
    <w:semiHidden/>
    <w:locked/>
    <w:rPr>
      <w:szCs w:val="21"/>
    </w:rPr>
  </w:style>
  <w:style w:type="character" w:customStyle="1" w:styleId="2Char11">
    <w:name w:val="正文文本缩进 2 Char1"/>
    <w:basedOn w:val="a1"/>
    <w:link w:val="21"/>
    <w:semiHidden/>
    <w:locked/>
    <w:rPr>
      <w:szCs w:val="21"/>
    </w:rPr>
  </w:style>
  <w:style w:type="character" w:customStyle="1" w:styleId="3Char10">
    <w:name w:val="正文文本缩进 3 Char1"/>
    <w:basedOn w:val="a1"/>
    <w:link w:val="30"/>
    <w:semiHidden/>
    <w:locked/>
    <w:rPr>
      <w:sz w:val="16"/>
      <w:szCs w:val="16"/>
    </w:rPr>
  </w:style>
  <w:style w:type="character" w:customStyle="1" w:styleId="HTMLChar1">
    <w:name w:val="HTML 预设格式 Char1"/>
    <w:basedOn w:val="a1"/>
    <w:link w:val="HTML"/>
    <w:semiHidden/>
    <w:locked/>
    <w:rPr>
      <w:rFonts w:ascii="Courier New" w:hAnsi="Courier New" w:cs="Courier New" w:hint="default"/>
      <w:sz w:val="20"/>
      <w:szCs w:val="20"/>
    </w:rPr>
  </w:style>
  <w:style w:type="character" w:customStyle="1" w:styleId="Char11">
    <w:name w:val="正文文本 Char1"/>
    <w:basedOn w:val="a1"/>
    <w:link w:val="aa"/>
    <w:semiHidden/>
    <w:locked/>
    <w:rPr>
      <w:szCs w:val="21"/>
    </w:rPr>
  </w:style>
  <w:style w:type="character" w:customStyle="1" w:styleId="font101">
    <w:name w:val="font101"/>
    <w:basedOn w:val="a1"/>
    <w:rPr>
      <w:rFonts w:ascii="Times New Roman" w:hAnsi="Times New Roman" w:cs="Times New Roman" w:hint="default"/>
      <w:sz w:val="28"/>
      <w:szCs w:val="28"/>
    </w:rPr>
  </w:style>
  <w:style w:type="character" w:customStyle="1" w:styleId="Char13">
    <w:name w:val="日期 Char1"/>
    <w:basedOn w:val="a1"/>
    <w:link w:val="ac"/>
    <w:semiHidden/>
    <w:locked/>
    <w:rPr>
      <w:szCs w:val="21"/>
    </w:rPr>
  </w:style>
  <w:style w:type="character" w:customStyle="1" w:styleId="b1">
    <w:name w:val="b1"/>
    <w:basedOn w:val="a1"/>
    <w:rPr>
      <w:rFonts w:ascii="Times New Roman" w:hAnsi="Times New Roman" w:cs="Times New Roman" w:hint="default"/>
    </w:rPr>
  </w:style>
  <w:style w:type="character" w:customStyle="1" w:styleId="Char16">
    <w:name w:val="批注框文本 Char1"/>
    <w:basedOn w:val="a1"/>
    <w:link w:val="af"/>
    <w:semiHidden/>
    <w:locked/>
    <w:rPr>
      <w:sz w:val="18"/>
      <w:szCs w:val="18"/>
    </w:rPr>
  </w:style>
  <w:style w:type="character" w:customStyle="1" w:styleId="text1">
    <w:name w:val="text1"/>
    <w:basedOn w:val="a1"/>
    <w:rPr>
      <w:rFonts w:ascii="Times New Roman" w:hAnsi="Times New Roman" w:cs="Times New Roman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4">
    <w:name w:val="文档结构图 Char1"/>
    <w:basedOn w:val="a1"/>
    <w:link w:val="ad"/>
    <w:semiHidden/>
    <w:locked/>
    <w:rPr>
      <w:rFonts w:ascii="宋体" w:eastAsia="宋体" w:hAnsi="宋体" w:hint="eastAsia"/>
      <w:sz w:val="18"/>
      <w:szCs w:val="18"/>
    </w:rPr>
  </w:style>
  <w:style w:type="character" w:customStyle="1" w:styleId="Char1">
    <w:name w:val="页眉 Char1"/>
    <w:basedOn w:val="a1"/>
    <w:link w:val="a8"/>
    <w:semiHidden/>
    <w:locked/>
    <w:rPr>
      <w:sz w:val="18"/>
      <w:szCs w:val="18"/>
    </w:rPr>
  </w:style>
  <w:style w:type="character" w:customStyle="1" w:styleId="CharChar11">
    <w:name w:val="Char Char11"/>
    <w:basedOn w:val="a1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C10884469886C4AB8A6DA68FBDE04AA" ma:contentTypeVersion="1" ma:contentTypeDescription="新建文档。" ma:contentTypeScope="" ma:versionID="7553dc4dbf1fa542800617f6c7d4f8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0B58C3-86AB-41B3-8ED9-97D73089B7C0}"/>
</file>

<file path=customXml/itemProps2.xml><?xml version="1.0" encoding="utf-8"?>
<ds:datastoreItem xmlns:ds="http://schemas.openxmlformats.org/officeDocument/2006/customXml" ds:itemID="{E3B1A63A-1BB7-4C25-99C2-F1033D0F3AA4}"/>
</file>

<file path=customXml/itemProps3.xml><?xml version="1.0" encoding="utf-8"?>
<ds:datastoreItem xmlns:ds="http://schemas.openxmlformats.org/officeDocument/2006/customXml" ds:itemID="{F3D3F127-8499-4F04-8C97-814A22F8C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陶祝祥</dc:creator>
  <cp:keywords/>
  <dc:description/>
  <cp:lastModifiedBy>Sky123.Org</cp:lastModifiedBy>
  <cp:revision>2</cp:revision>
  <cp:lastPrinted>2012-06-04T07:07:00Z</cp:lastPrinted>
  <dcterms:created xsi:type="dcterms:W3CDTF">2016-09-22T01:31:00Z</dcterms:created>
  <dcterms:modified xsi:type="dcterms:W3CDTF">2016-09-22T01:31:00Z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0x0101004C10884469886C4AB8A6DA68FBDE04AA</vt:lpwstr>
  </property>
</Properties>
</file>